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4338"/>
        <w:gridCol w:w="5310"/>
      </w:tblGrid>
      <w:tr w:rsidR="00113BC6" w:rsidRPr="00BA10D2" w:rsidTr="00A51BE3">
        <w:trPr>
          <w:trHeight w:val="1446"/>
        </w:trPr>
        <w:tc>
          <w:tcPr>
            <w:tcW w:w="4338" w:type="dxa"/>
          </w:tcPr>
          <w:p w:rsidR="00113BC6" w:rsidRPr="00746739" w:rsidRDefault="00113BC6" w:rsidP="00A51BE3">
            <w:pPr>
              <w:pStyle w:val="Heading2"/>
              <w:rPr>
                <w:rFonts w:ascii="Times New Roman Bold" w:hAnsi="Times New Roman Bold"/>
                <w:spacing w:val="-8"/>
                <w:sz w:val="26"/>
                <w:szCs w:val="26"/>
              </w:rPr>
            </w:pPr>
            <w:r w:rsidRPr="00746739">
              <w:rPr>
                <w:rFonts w:ascii="Times New Roman Bold" w:hAnsi="Times New Roman Bold"/>
                <w:spacing w:val="-8"/>
                <w:sz w:val="26"/>
                <w:szCs w:val="26"/>
              </w:rPr>
              <w:t>BỘ GIÁO DỤC VÀ ĐÀO TẠO</w:t>
            </w:r>
          </w:p>
          <w:p w:rsidR="00113BC6" w:rsidRDefault="00113BC6" w:rsidP="00A51BE3">
            <w:pPr>
              <w:spacing w:before="120"/>
              <w:rPr>
                <w:sz w:val="26"/>
                <w:szCs w:val="26"/>
              </w:rPr>
            </w:pPr>
            <w:r w:rsidRPr="003402AD">
              <w:rPr>
                <w:noProof/>
              </w:rPr>
              <w:pict>
                <v:line id="_x0000_s1026" style="position:absolute;z-index:251658240" from="41.9pt,3pt" to="117.4pt,3pt"/>
              </w:pict>
            </w:r>
            <w:r>
              <w:rPr>
                <w:sz w:val="26"/>
                <w:szCs w:val="26"/>
              </w:rPr>
              <w:t xml:space="preserve">    </w:t>
            </w:r>
            <w:r w:rsidRPr="002C225D">
              <w:rPr>
                <w:sz w:val="26"/>
                <w:szCs w:val="26"/>
              </w:rPr>
              <w:t>Số:</w:t>
            </w:r>
            <w:r>
              <w:rPr>
                <w:sz w:val="26"/>
                <w:szCs w:val="26"/>
              </w:rPr>
              <w:t xml:space="preserve"> ..... /BGDĐT-GDTrH</w:t>
            </w:r>
          </w:p>
          <w:p w:rsidR="00113BC6" w:rsidRDefault="00113BC6" w:rsidP="00A51BE3">
            <w:pPr>
              <w:rPr>
                <w:sz w:val="22"/>
                <w:szCs w:val="24"/>
              </w:rPr>
            </w:pPr>
            <w:r>
              <w:rPr>
                <w:sz w:val="22"/>
                <w:szCs w:val="24"/>
              </w:rPr>
              <w:t>V/v</w:t>
            </w:r>
            <w:r w:rsidRPr="00EB38F4">
              <w:rPr>
                <w:sz w:val="22"/>
                <w:szCs w:val="24"/>
              </w:rPr>
              <w:t xml:space="preserve"> </w:t>
            </w:r>
            <w:r>
              <w:rPr>
                <w:sz w:val="22"/>
                <w:szCs w:val="24"/>
              </w:rPr>
              <w:t>Hội thảo</w:t>
            </w:r>
            <w:r w:rsidRPr="00EB38F4">
              <w:rPr>
                <w:sz w:val="22"/>
                <w:szCs w:val="24"/>
              </w:rPr>
              <w:t xml:space="preserve"> tổng kết 5 năm</w:t>
            </w:r>
            <w:r>
              <w:rPr>
                <w:sz w:val="22"/>
                <w:szCs w:val="24"/>
              </w:rPr>
              <w:t xml:space="preserve"> </w:t>
            </w:r>
            <w:r w:rsidRPr="00EB38F4">
              <w:rPr>
                <w:sz w:val="22"/>
                <w:szCs w:val="24"/>
              </w:rPr>
              <w:t xml:space="preserve">“Đề án </w:t>
            </w:r>
          </w:p>
          <w:p w:rsidR="00113BC6" w:rsidRPr="00BA10D2" w:rsidRDefault="00113BC6" w:rsidP="00A51BE3">
            <w:r w:rsidRPr="00EB38F4">
              <w:rPr>
                <w:sz w:val="22"/>
                <w:szCs w:val="24"/>
              </w:rPr>
              <w:t>triển khai PP-BTNB giai đoạn 2011-2015”</w:t>
            </w:r>
          </w:p>
        </w:tc>
        <w:tc>
          <w:tcPr>
            <w:tcW w:w="5310" w:type="dxa"/>
          </w:tcPr>
          <w:p w:rsidR="00113BC6" w:rsidRPr="00117C5A" w:rsidRDefault="00113BC6" w:rsidP="00A51BE3">
            <w:pPr>
              <w:pStyle w:val="Heading1"/>
              <w:rPr>
                <w:rFonts w:ascii="Times New Roman" w:hAnsi="Times New Roman"/>
                <w:lang w:val="en-US"/>
              </w:rPr>
            </w:pPr>
            <w:r w:rsidRPr="00117C5A">
              <w:rPr>
                <w:rFonts w:ascii="Times New Roman" w:hAnsi="Times New Roman"/>
                <w:lang w:val="en-US"/>
              </w:rPr>
              <w:t>CỘNG HOÀ XÃ HỘI CHỦ NGHĨA VIỆT NAM</w:t>
            </w:r>
          </w:p>
          <w:p w:rsidR="00113BC6" w:rsidRPr="006919B6" w:rsidRDefault="00113BC6" w:rsidP="00A51BE3">
            <w:pPr>
              <w:jc w:val="center"/>
              <w:rPr>
                <w:b/>
                <w:bCs/>
                <w:sz w:val="26"/>
              </w:rPr>
            </w:pPr>
            <w:r w:rsidRPr="006919B6">
              <w:rPr>
                <w:b/>
                <w:bCs/>
                <w:sz w:val="26"/>
              </w:rPr>
              <w:t>Độc lập - Tự do - Hạnh phúc</w:t>
            </w:r>
          </w:p>
          <w:p w:rsidR="00113BC6" w:rsidRPr="00657B20" w:rsidRDefault="00113BC6" w:rsidP="00113BC6">
            <w:pPr>
              <w:spacing w:before="240"/>
              <w:jc w:val="center"/>
              <w:rPr>
                <w:b/>
                <w:bCs/>
                <w:sz w:val="26"/>
                <w:szCs w:val="26"/>
              </w:rPr>
            </w:pPr>
            <w:r w:rsidRPr="003402AD">
              <w:rPr>
                <w:b/>
                <w:bCs/>
                <w:noProof/>
              </w:rPr>
              <w:pict>
                <v:line id="_x0000_s1027" style="position:absolute;left:0;text-align:left;z-index:251658240" from="50.5pt,1.95pt" to="205.35pt,1.95pt"/>
              </w:pict>
            </w:r>
            <w:r>
              <w:rPr>
                <w:i/>
                <w:iCs/>
                <w:sz w:val="26"/>
                <w:szCs w:val="26"/>
              </w:rPr>
              <w:t xml:space="preserve">              Hà Nội, ngày ... tháng 4</w:t>
            </w:r>
            <w:r w:rsidRPr="00657B20">
              <w:rPr>
                <w:i/>
                <w:iCs/>
                <w:sz w:val="26"/>
                <w:szCs w:val="26"/>
              </w:rPr>
              <w:t xml:space="preserve"> năm 201</w:t>
            </w:r>
            <w:r>
              <w:rPr>
                <w:i/>
                <w:iCs/>
                <w:sz w:val="26"/>
                <w:szCs w:val="26"/>
              </w:rPr>
              <w:t>6</w:t>
            </w:r>
          </w:p>
        </w:tc>
      </w:tr>
    </w:tbl>
    <w:p w:rsidR="00113BC6" w:rsidRPr="00113BC6" w:rsidRDefault="00113BC6" w:rsidP="00113BC6">
      <w:pPr>
        <w:pStyle w:val="Heading4"/>
        <w:spacing w:before="120" w:after="240"/>
        <w:ind w:left="1440" w:hanging="1440"/>
        <w:jc w:val="center"/>
        <w:rPr>
          <w:rFonts w:ascii="Times New Roman" w:hAnsi="Times New Roman"/>
          <w:sz w:val="26"/>
          <w:szCs w:val="26"/>
        </w:rPr>
      </w:pPr>
      <w:r w:rsidRPr="00113BC6">
        <w:rPr>
          <w:rFonts w:ascii="Times New Roman" w:hAnsi="Times New Roman"/>
          <w:sz w:val="26"/>
          <w:szCs w:val="26"/>
        </w:rPr>
        <w:t>Kính gửi: Các sở Giáo dục và Đào tạo</w:t>
      </w:r>
    </w:p>
    <w:p w:rsidR="00113BC6" w:rsidRPr="00113BC6" w:rsidRDefault="00113BC6" w:rsidP="00113BC6">
      <w:pPr>
        <w:pStyle w:val="BlockText"/>
        <w:tabs>
          <w:tab w:val="clear" w:pos="8820"/>
          <w:tab w:val="clear" w:pos="9000"/>
          <w:tab w:val="left" w:pos="720"/>
        </w:tabs>
        <w:ind w:left="0" w:right="0"/>
        <w:jc w:val="both"/>
        <w:rPr>
          <w:rFonts w:ascii="Times New Roman" w:hAnsi="Times New Roman"/>
          <w:b w:val="0"/>
          <w:sz w:val="26"/>
          <w:szCs w:val="26"/>
        </w:rPr>
      </w:pPr>
      <w:r w:rsidRPr="00113BC6">
        <w:rPr>
          <w:rFonts w:ascii="Times New Roman" w:hAnsi="Times New Roman"/>
          <w:b w:val="0"/>
          <w:sz w:val="26"/>
          <w:szCs w:val="26"/>
        </w:rPr>
        <w:tab/>
        <w:t xml:space="preserve">Để </w:t>
      </w:r>
      <w:r w:rsidRPr="00113BC6">
        <w:rPr>
          <w:rFonts w:ascii="Times New Roman" w:hAnsi="Times New Roman"/>
          <w:b w:val="0"/>
          <w:sz w:val="26"/>
          <w:szCs w:val="26"/>
          <w:lang w:val="vi-VN"/>
        </w:rPr>
        <w:t xml:space="preserve">đánh giá kết quả thực hiện Đề án </w:t>
      </w:r>
      <w:r w:rsidRPr="00113BC6">
        <w:rPr>
          <w:rFonts w:ascii="Times New Roman" w:hAnsi="Times New Roman"/>
          <w:b w:val="0"/>
          <w:i/>
          <w:sz w:val="26"/>
          <w:szCs w:val="26"/>
          <w:lang w:val="vi-VN"/>
        </w:rPr>
        <w:t>“Triển khai Phương pháp Bàn tay nặn bột ở trường phổ thông giai đoạn 2011 - 2015”</w:t>
      </w:r>
      <w:r w:rsidRPr="00113BC6">
        <w:rPr>
          <w:rFonts w:ascii="Times New Roman" w:hAnsi="Times New Roman"/>
          <w:b w:val="0"/>
          <w:sz w:val="26"/>
          <w:szCs w:val="26"/>
          <w:lang w:val="vi-VN"/>
        </w:rPr>
        <w:t xml:space="preserve"> </w:t>
      </w:r>
      <w:r w:rsidRPr="00113BC6">
        <w:rPr>
          <w:rFonts w:ascii="Times New Roman" w:hAnsi="Times New Roman"/>
          <w:b w:val="0"/>
          <w:sz w:val="26"/>
          <w:szCs w:val="26"/>
        </w:rPr>
        <w:t xml:space="preserve">(sau đây gọi tắt là Đề án) </w:t>
      </w:r>
      <w:r w:rsidRPr="00113BC6">
        <w:rPr>
          <w:rFonts w:ascii="Times New Roman" w:hAnsi="Times New Roman"/>
          <w:b w:val="0"/>
          <w:sz w:val="26"/>
          <w:szCs w:val="26"/>
          <w:lang w:val="vi-VN"/>
        </w:rPr>
        <w:t>theo Quyết định số 6120/QĐ-BGDĐT ngày 01/12/2011 của Bộ trưởng Bộ Giáo dục và Đào tạo (GDĐT)</w:t>
      </w:r>
      <w:r w:rsidRPr="00113BC6">
        <w:rPr>
          <w:rFonts w:ascii="Times New Roman" w:hAnsi="Times New Roman"/>
          <w:b w:val="0"/>
          <w:sz w:val="26"/>
          <w:szCs w:val="26"/>
        </w:rPr>
        <w:t xml:space="preserve"> và Công văn số 3535/BGDĐT-GDTrH ngày 27/5/2013 </w:t>
      </w:r>
      <w:r w:rsidR="00896E57">
        <w:rPr>
          <w:rFonts w:ascii="Times New Roman" w:hAnsi="Times New Roman"/>
          <w:b w:val="0"/>
          <w:sz w:val="26"/>
          <w:szCs w:val="26"/>
        </w:rPr>
        <w:t xml:space="preserve">về việc </w:t>
      </w:r>
      <w:r w:rsidRPr="00113BC6">
        <w:rPr>
          <w:rFonts w:ascii="Times New Roman" w:hAnsi="Times New Roman"/>
          <w:b w:val="0"/>
          <w:sz w:val="26"/>
          <w:szCs w:val="26"/>
        </w:rPr>
        <w:t>hướng dẫn triển khai thực hiện phương pháp “Bàn tay nặn bột” và các phương pháp dạy học tích cực khác.</w:t>
      </w:r>
      <w:r w:rsidRPr="00113BC6">
        <w:rPr>
          <w:rFonts w:ascii="Times New Roman" w:hAnsi="Times New Roman"/>
          <w:b w:val="0"/>
          <w:sz w:val="26"/>
          <w:szCs w:val="26"/>
          <w:lang w:val="vi-VN"/>
        </w:rPr>
        <w:t xml:space="preserve"> Bộ GDĐT tổ chức </w:t>
      </w:r>
      <w:r w:rsidRPr="00113BC6">
        <w:rPr>
          <w:rFonts w:ascii="Times New Roman" w:hAnsi="Times New Roman"/>
          <w:b w:val="0"/>
          <w:sz w:val="26"/>
          <w:szCs w:val="26"/>
        </w:rPr>
        <w:t xml:space="preserve">Hội thảo </w:t>
      </w:r>
      <w:r w:rsidRPr="00113BC6">
        <w:rPr>
          <w:rFonts w:ascii="Times New Roman" w:hAnsi="Times New Roman"/>
          <w:b w:val="0"/>
          <w:spacing w:val="-4"/>
          <w:sz w:val="26"/>
          <w:szCs w:val="26"/>
        </w:rPr>
        <w:t>đánh giá</w:t>
      </w:r>
      <w:r w:rsidRPr="00113BC6">
        <w:rPr>
          <w:rFonts w:ascii="Times New Roman" w:hAnsi="Times New Roman"/>
          <w:b w:val="0"/>
          <w:sz w:val="26"/>
          <w:szCs w:val="26"/>
        </w:rPr>
        <w:t xml:space="preserve"> </w:t>
      </w:r>
      <w:r w:rsidRPr="00113BC6">
        <w:rPr>
          <w:rFonts w:ascii="Times New Roman" w:hAnsi="Times New Roman"/>
          <w:b w:val="0"/>
          <w:spacing w:val="-4"/>
          <w:sz w:val="26"/>
          <w:szCs w:val="26"/>
        </w:rPr>
        <w:t xml:space="preserve">5 năm thực hiện </w:t>
      </w:r>
      <w:r w:rsidRPr="00113BC6">
        <w:rPr>
          <w:rFonts w:ascii="Times New Roman" w:hAnsi="Times New Roman"/>
          <w:b w:val="0"/>
          <w:sz w:val="26"/>
          <w:szCs w:val="26"/>
        </w:rPr>
        <w:t xml:space="preserve">Đề án với </w:t>
      </w:r>
      <w:r w:rsidR="00896E57">
        <w:rPr>
          <w:rFonts w:ascii="Times New Roman" w:hAnsi="Times New Roman"/>
          <w:b w:val="0"/>
          <w:sz w:val="26"/>
          <w:szCs w:val="26"/>
        </w:rPr>
        <w:t xml:space="preserve">các </w:t>
      </w:r>
      <w:r w:rsidRPr="00113BC6">
        <w:rPr>
          <w:rFonts w:ascii="Times New Roman" w:hAnsi="Times New Roman"/>
          <w:b w:val="0"/>
          <w:sz w:val="26"/>
          <w:szCs w:val="26"/>
        </w:rPr>
        <w:t>nội dung chính sau:</w:t>
      </w:r>
    </w:p>
    <w:p w:rsidR="00113BC6" w:rsidRPr="00113BC6" w:rsidRDefault="00113BC6" w:rsidP="00113BC6">
      <w:pPr>
        <w:spacing w:before="120"/>
        <w:ind w:firstLine="720"/>
        <w:jc w:val="both"/>
        <w:rPr>
          <w:b/>
          <w:sz w:val="26"/>
          <w:szCs w:val="26"/>
          <w:lang w:val="vi-VN"/>
        </w:rPr>
      </w:pPr>
      <w:r w:rsidRPr="00113BC6">
        <w:rPr>
          <w:b/>
          <w:sz w:val="26"/>
          <w:szCs w:val="26"/>
          <w:lang w:val="vi-VN"/>
        </w:rPr>
        <w:t>I. Mục đích</w:t>
      </w:r>
    </w:p>
    <w:p w:rsidR="00113BC6" w:rsidRPr="00113BC6" w:rsidRDefault="00113BC6" w:rsidP="00113BC6">
      <w:pPr>
        <w:spacing w:before="120"/>
        <w:ind w:firstLine="720"/>
        <w:jc w:val="both"/>
        <w:rPr>
          <w:sz w:val="26"/>
          <w:szCs w:val="26"/>
          <w:lang w:val="vi-VN"/>
        </w:rPr>
      </w:pPr>
      <w:r w:rsidRPr="00113BC6">
        <w:rPr>
          <w:sz w:val="26"/>
          <w:szCs w:val="26"/>
          <w:lang w:val="vi-VN"/>
        </w:rPr>
        <w:t xml:space="preserve">1. Đánh giá việc triển khai thực hiện Đề án: những kết quả đã đạt được, những </w:t>
      </w:r>
      <w:r w:rsidRPr="00113BC6">
        <w:rPr>
          <w:sz w:val="26"/>
          <w:szCs w:val="26"/>
        </w:rPr>
        <w:t xml:space="preserve">hạn chế, </w:t>
      </w:r>
      <w:r w:rsidRPr="00113BC6">
        <w:rPr>
          <w:sz w:val="26"/>
          <w:szCs w:val="26"/>
          <w:lang w:val="vi-VN"/>
        </w:rPr>
        <w:t>tồn tại và những những bài học kinh nghiệm.</w:t>
      </w:r>
    </w:p>
    <w:p w:rsidR="00113BC6" w:rsidRPr="00113BC6" w:rsidRDefault="00113BC6" w:rsidP="00113BC6">
      <w:pPr>
        <w:spacing w:before="120"/>
        <w:ind w:firstLine="720"/>
        <w:jc w:val="both"/>
        <w:rPr>
          <w:sz w:val="26"/>
          <w:szCs w:val="26"/>
          <w:lang w:val="vi-VN"/>
        </w:rPr>
      </w:pPr>
      <w:r w:rsidRPr="00113BC6">
        <w:rPr>
          <w:sz w:val="26"/>
          <w:szCs w:val="26"/>
          <w:lang w:val="vi-VN"/>
        </w:rPr>
        <w:t>2. Định hướng triển khai phương pháp “Bàn tay nặn bột” và các phương pháp dạy học tích cực nhằm nâng cao hiệu quả dạy học trong giáo dục phổ thông trong giai đoạn tiếp theo.</w:t>
      </w:r>
    </w:p>
    <w:p w:rsidR="00113BC6" w:rsidRPr="00113BC6" w:rsidRDefault="00113BC6" w:rsidP="00113BC6">
      <w:pPr>
        <w:spacing w:before="120"/>
        <w:ind w:firstLine="720"/>
        <w:jc w:val="both"/>
        <w:rPr>
          <w:b/>
          <w:sz w:val="26"/>
          <w:szCs w:val="26"/>
          <w:lang w:val="vi-VN"/>
        </w:rPr>
      </w:pPr>
      <w:r w:rsidRPr="00113BC6">
        <w:rPr>
          <w:b/>
          <w:sz w:val="26"/>
          <w:szCs w:val="26"/>
          <w:lang w:val="vi-VN"/>
        </w:rPr>
        <w:t xml:space="preserve">II. Nội dung </w:t>
      </w:r>
    </w:p>
    <w:p w:rsidR="00113BC6" w:rsidRPr="00113BC6" w:rsidRDefault="00113BC6" w:rsidP="00113BC6">
      <w:pPr>
        <w:spacing w:before="120"/>
        <w:ind w:firstLine="720"/>
        <w:jc w:val="both"/>
        <w:rPr>
          <w:sz w:val="26"/>
          <w:szCs w:val="26"/>
          <w:lang w:val="vi-VN"/>
        </w:rPr>
      </w:pPr>
      <w:r w:rsidRPr="00113BC6">
        <w:rPr>
          <w:sz w:val="26"/>
          <w:szCs w:val="26"/>
          <w:lang w:val="vi-VN"/>
        </w:rPr>
        <w:t xml:space="preserve">1. Báo cáo đánh giá </w:t>
      </w:r>
      <w:r w:rsidRPr="00113BC6">
        <w:rPr>
          <w:spacing w:val="-4"/>
          <w:sz w:val="26"/>
          <w:szCs w:val="26"/>
          <w:lang w:val="vi-VN"/>
        </w:rPr>
        <w:t>đánh giá</w:t>
      </w:r>
      <w:r w:rsidRPr="00113BC6">
        <w:rPr>
          <w:sz w:val="26"/>
          <w:szCs w:val="26"/>
          <w:lang w:val="vi-VN"/>
        </w:rPr>
        <w:t xml:space="preserve"> </w:t>
      </w:r>
      <w:r w:rsidRPr="00113BC6">
        <w:rPr>
          <w:spacing w:val="-4"/>
          <w:sz w:val="26"/>
          <w:szCs w:val="26"/>
          <w:lang w:val="vi-VN"/>
        </w:rPr>
        <w:t xml:space="preserve">5 năm thực hiện </w:t>
      </w:r>
      <w:r w:rsidRPr="00113BC6">
        <w:rPr>
          <w:sz w:val="26"/>
          <w:szCs w:val="26"/>
          <w:lang w:val="vi-VN"/>
        </w:rPr>
        <w:t>Đề án</w:t>
      </w:r>
      <w:r w:rsidRPr="00113BC6">
        <w:rPr>
          <w:i/>
          <w:sz w:val="26"/>
          <w:szCs w:val="26"/>
          <w:lang w:val="vi-VN"/>
        </w:rPr>
        <w:t>.</w:t>
      </w:r>
    </w:p>
    <w:p w:rsidR="00113BC6" w:rsidRPr="00113BC6" w:rsidRDefault="0080068D" w:rsidP="00113BC6">
      <w:pPr>
        <w:spacing w:before="120"/>
        <w:ind w:firstLine="720"/>
        <w:jc w:val="both"/>
        <w:rPr>
          <w:sz w:val="26"/>
          <w:szCs w:val="26"/>
          <w:lang w:val="vi-VN"/>
        </w:rPr>
      </w:pPr>
      <w:r>
        <w:rPr>
          <w:sz w:val="26"/>
          <w:szCs w:val="26"/>
          <w:lang w:val="vi-VN"/>
        </w:rPr>
        <w:t xml:space="preserve">2. </w:t>
      </w:r>
      <w:r>
        <w:rPr>
          <w:sz w:val="26"/>
          <w:szCs w:val="26"/>
        </w:rPr>
        <w:t>T</w:t>
      </w:r>
      <w:r w:rsidR="00113BC6" w:rsidRPr="00113BC6">
        <w:rPr>
          <w:sz w:val="26"/>
          <w:szCs w:val="26"/>
          <w:lang w:val="vi-VN"/>
        </w:rPr>
        <w:t>ham luận của các đơn vị đạt kết quả tốt trong việc tổ chức thực hiện Đề án.</w:t>
      </w:r>
    </w:p>
    <w:p w:rsidR="00113BC6" w:rsidRPr="00113BC6" w:rsidRDefault="00113BC6" w:rsidP="00113BC6">
      <w:pPr>
        <w:spacing w:before="120"/>
        <w:ind w:firstLine="720"/>
        <w:jc w:val="both"/>
        <w:rPr>
          <w:sz w:val="26"/>
          <w:szCs w:val="26"/>
          <w:lang w:val="vi-VN"/>
        </w:rPr>
      </w:pPr>
      <w:r w:rsidRPr="00113BC6">
        <w:rPr>
          <w:sz w:val="26"/>
          <w:szCs w:val="26"/>
          <w:lang w:val="vi-VN"/>
        </w:rPr>
        <w:t>3. Thảo luận đánh giá, tổng kết kinh nghiệm và định hướng triển khai phương pháp “Bàn tay nặn bột” và các phương pháp dạy học tích cực nhằm nâng cao hiệu quả dạy học trong giáo dục phổ thông trong giai đoạn tiếp theo.</w:t>
      </w:r>
    </w:p>
    <w:p w:rsidR="00113BC6" w:rsidRPr="00113BC6" w:rsidRDefault="00113BC6" w:rsidP="00113BC6">
      <w:pPr>
        <w:spacing w:before="120"/>
        <w:ind w:firstLine="720"/>
        <w:jc w:val="both"/>
        <w:rPr>
          <w:b/>
          <w:sz w:val="26"/>
          <w:szCs w:val="26"/>
          <w:lang w:val="vi-VN"/>
        </w:rPr>
      </w:pPr>
      <w:r w:rsidRPr="00113BC6">
        <w:rPr>
          <w:b/>
          <w:sz w:val="26"/>
          <w:szCs w:val="26"/>
          <w:lang w:val="vi-VN"/>
        </w:rPr>
        <w:t>III. Số lượng và thành phần đại biểu</w:t>
      </w:r>
    </w:p>
    <w:p w:rsidR="00113BC6" w:rsidRPr="00113BC6" w:rsidRDefault="00113BC6" w:rsidP="00113BC6">
      <w:pPr>
        <w:spacing w:before="120"/>
        <w:ind w:firstLine="720"/>
        <w:jc w:val="both"/>
        <w:rPr>
          <w:b/>
          <w:sz w:val="26"/>
          <w:szCs w:val="26"/>
          <w:lang w:val="vi-VN"/>
        </w:rPr>
      </w:pPr>
      <w:r w:rsidRPr="00113BC6">
        <w:rPr>
          <w:b/>
          <w:sz w:val="26"/>
          <w:szCs w:val="26"/>
          <w:lang w:val="vi-VN"/>
        </w:rPr>
        <w:t xml:space="preserve">1. Các cơ quan Trung ương </w:t>
      </w:r>
    </w:p>
    <w:p w:rsidR="00113BC6" w:rsidRPr="00113BC6" w:rsidRDefault="00113BC6" w:rsidP="00113BC6">
      <w:pPr>
        <w:spacing w:before="120"/>
        <w:ind w:firstLine="720"/>
        <w:jc w:val="both"/>
        <w:rPr>
          <w:spacing w:val="-4"/>
          <w:sz w:val="26"/>
          <w:szCs w:val="26"/>
          <w:lang w:val="vi-VN"/>
        </w:rPr>
      </w:pPr>
      <w:r w:rsidRPr="00113BC6">
        <w:rPr>
          <w:spacing w:val="-4"/>
          <w:sz w:val="26"/>
          <w:szCs w:val="26"/>
          <w:lang w:val="vi-VN"/>
        </w:rPr>
        <w:t xml:space="preserve">- Lãnh đạo </w:t>
      </w:r>
      <w:r w:rsidR="00896E57">
        <w:rPr>
          <w:spacing w:val="-4"/>
          <w:sz w:val="26"/>
          <w:szCs w:val="26"/>
          <w:lang w:val="vi-VN"/>
        </w:rPr>
        <w:t>Bộ GDĐT</w:t>
      </w:r>
      <w:r w:rsidR="00896E57">
        <w:rPr>
          <w:spacing w:val="-4"/>
          <w:sz w:val="26"/>
          <w:szCs w:val="26"/>
        </w:rPr>
        <w:t>;</w:t>
      </w:r>
      <w:r w:rsidRPr="00113BC6">
        <w:rPr>
          <w:spacing w:val="-4"/>
          <w:sz w:val="26"/>
          <w:szCs w:val="26"/>
          <w:lang w:val="vi-VN"/>
        </w:rPr>
        <w:t xml:space="preserve"> </w:t>
      </w:r>
    </w:p>
    <w:p w:rsidR="00113BC6" w:rsidRPr="00113BC6" w:rsidRDefault="00113BC6" w:rsidP="00113BC6">
      <w:pPr>
        <w:spacing w:before="120"/>
        <w:ind w:firstLine="720"/>
        <w:jc w:val="both"/>
        <w:rPr>
          <w:sz w:val="26"/>
          <w:szCs w:val="26"/>
          <w:lang w:val="vi-VN"/>
        </w:rPr>
      </w:pPr>
      <w:r w:rsidRPr="00113BC6">
        <w:rPr>
          <w:spacing w:val="-4"/>
          <w:sz w:val="26"/>
          <w:szCs w:val="26"/>
          <w:lang w:val="vi-VN"/>
        </w:rPr>
        <w:t>- Lãnh đạo và chuyên viên các đơn vị: Vụ GDTH, Vụ GDTrH, Cục NG&amp;CBQL, Bộ phận thường trực Ban chỉ đạo đổi mới chương trình-sách giáo khoa giáo dục phổ thông, Viện KHGD Việt Nam, trường Đại học Thủ Đô, trường Đại học sư phạm Hà Nội, trường Đại học Quy nhơn, Dự án GPE-VNEN và các thành viên Ban chỉ đạo Đề án</w:t>
      </w:r>
      <w:r w:rsidRPr="00113BC6">
        <w:rPr>
          <w:sz w:val="26"/>
          <w:szCs w:val="26"/>
          <w:lang w:val="vi-VN"/>
        </w:rPr>
        <w:t xml:space="preserve">. </w:t>
      </w:r>
    </w:p>
    <w:p w:rsidR="00113BC6" w:rsidRPr="00113BC6" w:rsidRDefault="00113BC6" w:rsidP="00113BC6">
      <w:pPr>
        <w:spacing w:before="120"/>
        <w:ind w:firstLine="720"/>
        <w:jc w:val="both"/>
        <w:rPr>
          <w:b/>
          <w:sz w:val="26"/>
          <w:szCs w:val="26"/>
          <w:lang w:val="vi-VN"/>
        </w:rPr>
      </w:pPr>
      <w:r w:rsidRPr="00113BC6">
        <w:rPr>
          <w:b/>
          <w:sz w:val="26"/>
          <w:szCs w:val="26"/>
          <w:lang w:val="vi-VN"/>
        </w:rPr>
        <w:t xml:space="preserve">2. Các Sở GDĐT </w:t>
      </w:r>
    </w:p>
    <w:p w:rsidR="00113BC6" w:rsidRPr="00113BC6" w:rsidRDefault="00113BC6" w:rsidP="00113BC6">
      <w:pPr>
        <w:spacing w:before="120"/>
        <w:ind w:firstLine="720"/>
        <w:jc w:val="both"/>
        <w:rPr>
          <w:spacing w:val="-2"/>
          <w:sz w:val="26"/>
          <w:szCs w:val="26"/>
          <w:lang w:val="vi-VN"/>
        </w:rPr>
      </w:pPr>
      <w:r w:rsidRPr="00113BC6">
        <w:rPr>
          <w:sz w:val="26"/>
          <w:szCs w:val="26"/>
          <w:lang w:val="vi-VN"/>
        </w:rPr>
        <w:t xml:space="preserve">- Các sở GDĐT: Hà Nội, Hải Phòng, Bắc Kạn, Hà Giang, Yên Bái, Ninh Bình, Thừa Thiên Huế, Bình Định, Cà Mau, Đắk Lắk: </w:t>
      </w:r>
      <w:r w:rsidRPr="00113BC6">
        <w:rPr>
          <w:spacing w:val="-2"/>
          <w:sz w:val="26"/>
          <w:szCs w:val="26"/>
          <w:lang w:val="vi-VN"/>
        </w:rPr>
        <w:t>mỗi sở GDĐT cử 05 người gồm (gồm 01 lãnh đạo Sở; 01 lãnh đạo phòng GDTrH; 01 lãnh đạo phòng GDTH; 01 lãnh đạo phòng GDĐT; 01 giáo viên).</w:t>
      </w:r>
    </w:p>
    <w:p w:rsidR="00113BC6" w:rsidRPr="00113BC6" w:rsidRDefault="00113BC6" w:rsidP="00113BC6">
      <w:pPr>
        <w:spacing w:before="120"/>
        <w:ind w:firstLine="720"/>
        <w:jc w:val="both"/>
        <w:rPr>
          <w:sz w:val="26"/>
          <w:szCs w:val="26"/>
          <w:lang w:val="vi-VN"/>
        </w:rPr>
      </w:pPr>
      <w:r w:rsidRPr="00113BC6">
        <w:rPr>
          <w:sz w:val="26"/>
          <w:szCs w:val="26"/>
          <w:lang w:val="vi-VN"/>
        </w:rPr>
        <w:t xml:space="preserve">- Các sở GDĐT còn lại:  </w:t>
      </w:r>
      <w:r w:rsidRPr="00113BC6">
        <w:rPr>
          <w:spacing w:val="-2"/>
          <w:sz w:val="26"/>
          <w:szCs w:val="26"/>
          <w:lang w:val="vi-VN"/>
        </w:rPr>
        <w:t>mỗi sở GDĐT cử 03 người (gồm 01 lãnh đạo Sở; 01 lãnh đạo phòng GDTrH; 01 lãnh đạo phòng GDTH).</w:t>
      </w:r>
    </w:p>
    <w:p w:rsidR="00113BC6" w:rsidRPr="00113BC6" w:rsidRDefault="00113BC6" w:rsidP="00113BC6">
      <w:pPr>
        <w:spacing w:before="120"/>
        <w:ind w:firstLine="720"/>
        <w:jc w:val="both"/>
        <w:rPr>
          <w:b/>
          <w:sz w:val="26"/>
          <w:szCs w:val="26"/>
          <w:lang w:val="vi-VN"/>
        </w:rPr>
      </w:pPr>
      <w:r w:rsidRPr="00113BC6">
        <w:rPr>
          <w:b/>
          <w:sz w:val="26"/>
          <w:szCs w:val="26"/>
          <w:lang w:val="vi-VN"/>
        </w:rPr>
        <w:lastRenderedPageBreak/>
        <w:t>IV. Thời gian và địa điểm</w:t>
      </w:r>
    </w:p>
    <w:p w:rsidR="00113BC6" w:rsidRPr="00113BC6" w:rsidRDefault="00113BC6" w:rsidP="00113BC6">
      <w:pPr>
        <w:spacing w:before="120"/>
        <w:ind w:firstLine="720"/>
        <w:jc w:val="both"/>
        <w:rPr>
          <w:sz w:val="26"/>
          <w:szCs w:val="26"/>
          <w:lang w:val="vi-VN"/>
        </w:rPr>
      </w:pPr>
      <w:r w:rsidRPr="00113BC6">
        <w:rPr>
          <w:sz w:val="26"/>
          <w:szCs w:val="26"/>
          <w:lang w:val="vi-VN"/>
        </w:rPr>
        <w:t xml:space="preserve">1. Thời gian: </w:t>
      </w:r>
      <w:r>
        <w:rPr>
          <w:sz w:val="26"/>
          <w:szCs w:val="26"/>
        </w:rPr>
        <w:t>(</w:t>
      </w:r>
      <w:r w:rsidRPr="00113BC6">
        <w:rPr>
          <w:sz w:val="26"/>
          <w:szCs w:val="26"/>
          <w:lang w:val="vi-VN"/>
        </w:rPr>
        <w:t>02 ngày</w:t>
      </w:r>
      <w:r>
        <w:rPr>
          <w:sz w:val="26"/>
          <w:szCs w:val="26"/>
        </w:rPr>
        <w:t>)</w:t>
      </w:r>
      <w:r w:rsidRPr="00113BC6">
        <w:rPr>
          <w:sz w:val="26"/>
          <w:szCs w:val="26"/>
          <w:lang w:val="vi-VN"/>
        </w:rPr>
        <w:t xml:space="preserve"> </w:t>
      </w:r>
      <w:r>
        <w:rPr>
          <w:sz w:val="26"/>
          <w:szCs w:val="26"/>
        </w:rPr>
        <w:t>28, 29</w:t>
      </w:r>
      <w:r w:rsidRPr="00113BC6">
        <w:rPr>
          <w:sz w:val="26"/>
          <w:szCs w:val="26"/>
          <w:lang w:val="vi-VN"/>
        </w:rPr>
        <w:t xml:space="preserve"> tháng 4</w:t>
      </w:r>
      <w:r>
        <w:rPr>
          <w:sz w:val="26"/>
          <w:szCs w:val="26"/>
        </w:rPr>
        <w:t xml:space="preserve"> năm </w:t>
      </w:r>
      <w:r w:rsidRPr="00113BC6">
        <w:rPr>
          <w:sz w:val="26"/>
          <w:szCs w:val="26"/>
          <w:lang w:val="vi-VN"/>
        </w:rPr>
        <w:t>2016.</w:t>
      </w:r>
    </w:p>
    <w:p w:rsidR="00113BC6" w:rsidRPr="00113BC6" w:rsidRDefault="00113BC6" w:rsidP="00113BC6">
      <w:pPr>
        <w:spacing w:before="120"/>
        <w:ind w:firstLine="720"/>
        <w:jc w:val="both"/>
        <w:rPr>
          <w:spacing w:val="-8"/>
          <w:sz w:val="26"/>
          <w:szCs w:val="26"/>
          <w:lang w:val="vi-VN"/>
        </w:rPr>
      </w:pPr>
      <w:r w:rsidRPr="00113BC6">
        <w:rPr>
          <w:sz w:val="26"/>
          <w:szCs w:val="26"/>
          <w:lang w:val="vi-VN"/>
        </w:rPr>
        <w:t xml:space="preserve">2. Địa điểm: Trung tâm Quốc tế Khoa học và Giáo dục liên ngành (ICISE), </w:t>
      </w:r>
      <w:r w:rsidRPr="00113BC6">
        <w:rPr>
          <w:color w:val="141823"/>
          <w:sz w:val="26"/>
          <w:szCs w:val="26"/>
          <w:shd w:val="clear" w:color="auto" w:fill="FFFFFF"/>
          <w:lang w:val="vi-VN"/>
        </w:rPr>
        <w:t xml:space="preserve">Ghềnh Ráng, </w:t>
      </w:r>
      <w:r w:rsidRPr="00113BC6">
        <w:rPr>
          <w:sz w:val="26"/>
          <w:szCs w:val="26"/>
          <w:lang w:val="vi-VN"/>
        </w:rPr>
        <w:t>thành phố Quy Nhơn, tỉnh Bình Định.</w:t>
      </w:r>
    </w:p>
    <w:p w:rsidR="00113BC6" w:rsidRPr="00113BC6" w:rsidRDefault="00113BC6" w:rsidP="00113BC6">
      <w:pPr>
        <w:spacing w:before="120"/>
        <w:ind w:firstLine="720"/>
        <w:jc w:val="both"/>
        <w:rPr>
          <w:b/>
          <w:sz w:val="26"/>
          <w:szCs w:val="26"/>
          <w:lang w:val="vi-VN"/>
        </w:rPr>
      </w:pPr>
      <w:r w:rsidRPr="00113BC6">
        <w:rPr>
          <w:b/>
          <w:sz w:val="26"/>
          <w:szCs w:val="26"/>
          <w:lang w:val="vi-VN"/>
        </w:rPr>
        <w:t>V. Tổ chức thực hiện</w:t>
      </w:r>
    </w:p>
    <w:p w:rsidR="00113BC6" w:rsidRPr="00113BC6" w:rsidRDefault="00113BC6" w:rsidP="00113BC6">
      <w:pPr>
        <w:spacing w:before="120"/>
        <w:ind w:firstLine="720"/>
        <w:jc w:val="both"/>
        <w:rPr>
          <w:sz w:val="26"/>
          <w:szCs w:val="26"/>
          <w:lang w:val="vi-VN"/>
        </w:rPr>
      </w:pPr>
      <w:r w:rsidRPr="00113BC6">
        <w:rPr>
          <w:sz w:val="26"/>
          <w:szCs w:val="26"/>
          <w:lang w:val="vi-VN"/>
        </w:rPr>
        <w:t>1. Vụ Giáo dục Tiểu học, Vụ Giáo dục Trung học:</w:t>
      </w:r>
      <w:r w:rsidRPr="00113BC6">
        <w:rPr>
          <w:b/>
          <w:sz w:val="26"/>
          <w:szCs w:val="26"/>
          <w:lang w:val="vi-VN"/>
        </w:rPr>
        <w:t xml:space="preserve"> </w:t>
      </w:r>
      <w:r w:rsidRPr="00113BC6">
        <w:rPr>
          <w:sz w:val="26"/>
          <w:szCs w:val="26"/>
          <w:lang w:val="vi-VN"/>
        </w:rPr>
        <w:t>Chủ trì và phối hợp với các đơn vị liên quan triển khai kế hoạch tổ chức Hội nghị tổng kết Đề án.</w:t>
      </w:r>
    </w:p>
    <w:p w:rsidR="00113BC6" w:rsidRPr="00113BC6" w:rsidRDefault="00113BC6" w:rsidP="00113BC6">
      <w:pPr>
        <w:spacing w:before="120"/>
        <w:ind w:firstLine="720"/>
        <w:jc w:val="both"/>
        <w:rPr>
          <w:b/>
          <w:sz w:val="26"/>
          <w:szCs w:val="26"/>
          <w:lang w:val="vi-VN"/>
        </w:rPr>
      </w:pPr>
      <w:r w:rsidRPr="00113BC6">
        <w:rPr>
          <w:sz w:val="26"/>
          <w:szCs w:val="26"/>
          <w:lang w:val="vi-VN"/>
        </w:rPr>
        <w:t>2. Dự án GPE-VNEN</w:t>
      </w:r>
      <w:r w:rsidRPr="00113BC6">
        <w:rPr>
          <w:b/>
          <w:sz w:val="26"/>
          <w:szCs w:val="26"/>
          <w:lang w:val="vi-VN"/>
        </w:rPr>
        <w:t xml:space="preserve">: </w:t>
      </w:r>
    </w:p>
    <w:p w:rsidR="00113BC6" w:rsidRPr="00113BC6" w:rsidRDefault="00113BC6" w:rsidP="00113BC6">
      <w:pPr>
        <w:spacing w:before="120"/>
        <w:ind w:firstLine="720"/>
        <w:jc w:val="both"/>
        <w:rPr>
          <w:sz w:val="26"/>
          <w:szCs w:val="26"/>
          <w:lang w:val="vi-VN"/>
        </w:rPr>
      </w:pPr>
      <w:r w:rsidRPr="00113BC6">
        <w:rPr>
          <w:sz w:val="26"/>
          <w:szCs w:val="26"/>
          <w:lang w:val="vi-VN"/>
        </w:rPr>
        <w:t>- Chịu trách nhiệm về kinh phí tổ chức hội nghị, kinh phí cho các báo cáo hội nghị và chi trả chế độ công tác phí, ăn nghỉ, đi lại cho các thành viên ban tổ chức ở trung ương tham dự hội nghị theo chế độ hiện hành.</w:t>
      </w:r>
    </w:p>
    <w:p w:rsidR="00113BC6" w:rsidRPr="00113BC6" w:rsidRDefault="00113BC6" w:rsidP="00113BC6">
      <w:pPr>
        <w:spacing w:before="120"/>
        <w:ind w:firstLine="720"/>
        <w:jc w:val="both"/>
        <w:rPr>
          <w:sz w:val="26"/>
          <w:szCs w:val="26"/>
          <w:lang w:val="vi-VN"/>
        </w:rPr>
      </w:pPr>
      <w:r w:rsidRPr="00113BC6">
        <w:rPr>
          <w:sz w:val="26"/>
          <w:szCs w:val="26"/>
          <w:lang w:val="vi-VN"/>
        </w:rPr>
        <w:t>- In ấn báo cáo, tài liệu, đĩa hình phục vụ hội nghị.</w:t>
      </w:r>
    </w:p>
    <w:p w:rsidR="00113BC6" w:rsidRPr="00113BC6" w:rsidRDefault="00113BC6" w:rsidP="00113BC6">
      <w:pPr>
        <w:spacing w:before="120"/>
        <w:ind w:firstLine="720"/>
        <w:jc w:val="both"/>
        <w:rPr>
          <w:sz w:val="26"/>
          <w:szCs w:val="26"/>
        </w:rPr>
      </w:pPr>
      <w:r w:rsidRPr="00113BC6">
        <w:rPr>
          <w:sz w:val="26"/>
          <w:szCs w:val="26"/>
          <w:lang w:val="vi-VN"/>
        </w:rPr>
        <w:t>3.</w:t>
      </w:r>
      <w:r w:rsidRPr="00113BC6">
        <w:rPr>
          <w:b/>
          <w:sz w:val="26"/>
          <w:szCs w:val="26"/>
          <w:lang w:val="vi-VN"/>
        </w:rPr>
        <w:t xml:space="preserve"> </w:t>
      </w:r>
      <w:r w:rsidRPr="00113BC6">
        <w:rPr>
          <w:sz w:val="26"/>
          <w:szCs w:val="26"/>
          <w:lang w:val="vi-VN"/>
        </w:rPr>
        <w:t>Các Sở Giáo dục và Đào tạo: Cử người tham dự đủ số lượng và đúng thành phần; thanh toán chế độ công tác phí, ăn nghỉ, đi lại cho đại biểu của địa phương tham dự hội nghị theo chế độ hiện hành./.</w:t>
      </w:r>
    </w:p>
    <w:p w:rsidR="00896E57" w:rsidRDefault="0080068D" w:rsidP="00113BC6">
      <w:pPr>
        <w:spacing w:before="120"/>
        <w:ind w:firstLine="720"/>
        <w:jc w:val="both"/>
        <w:rPr>
          <w:sz w:val="26"/>
          <w:szCs w:val="26"/>
        </w:rPr>
      </w:pPr>
      <w:r>
        <w:rPr>
          <w:sz w:val="26"/>
          <w:szCs w:val="26"/>
        </w:rPr>
        <w:t>C</w:t>
      </w:r>
      <w:r w:rsidR="00113BC6" w:rsidRPr="00AB0A56">
        <w:rPr>
          <w:sz w:val="26"/>
          <w:szCs w:val="26"/>
        </w:rPr>
        <w:t>ông văn này</w:t>
      </w:r>
      <w:r>
        <w:rPr>
          <w:sz w:val="26"/>
          <w:szCs w:val="26"/>
        </w:rPr>
        <w:t xml:space="preserve"> thay cho giấy triệu tập</w:t>
      </w:r>
      <w:r w:rsidR="00113BC6" w:rsidRPr="00AB0A56">
        <w:rPr>
          <w:sz w:val="26"/>
          <w:szCs w:val="26"/>
        </w:rPr>
        <w:t xml:space="preserve">, đề nghị </w:t>
      </w:r>
      <w:r w:rsidR="00896E57">
        <w:rPr>
          <w:sz w:val="26"/>
          <w:szCs w:val="26"/>
        </w:rPr>
        <w:t>các đơn vị</w:t>
      </w:r>
      <w:r w:rsidR="00113BC6" w:rsidRPr="00AB0A56">
        <w:rPr>
          <w:sz w:val="26"/>
          <w:szCs w:val="26"/>
        </w:rPr>
        <w:t xml:space="preserve"> triển khai thực hiện</w:t>
      </w:r>
      <w:r w:rsidR="00896E57">
        <w:rPr>
          <w:sz w:val="26"/>
          <w:szCs w:val="26"/>
        </w:rPr>
        <w:t>.</w:t>
      </w:r>
    </w:p>
    <w:p w:rsidR="00896E57" w:rsidRPr="00896E57" w:rsidRDefault="00896E57" w:rsidP="00896E57">
      <w:pPr>
        <w:pStyle w:val="BlockText"/>
        <w:tabs>
          <w:tab w:val="clear" w:pos="8820"/>
          <w:tab w:val="clear" w:pos="9000"/>
          <w:tab w:val="left" w:pos="720"/>
          <w:tab w:val="left" w:pos="1080"/>
        </w:tabs>
        <w:spacing w:before="240"/>
        <w:ind w:left="0" w:right="0"/>
        <w:jc w:val="both"/>
        <w:rPr>
          <w:rFonts w:ascii="Times New Roman" w:hAnsi="Times New Roman"/>
          <w:b w:val="0"/>
          <w:sz w:val="24"/>
          <w:szCs w:val="24"/>
        </w:rPr>
      </w:pPr>
      <w:r>
        <w:rPr>
          <w:rFonts w:ascii="Times New Roman" w:hAnsi="Times New Roman"/>
          <w:sz w:val="24"/>
          <w:szCs w:val="24"/>
        </w:rPr>
        <w:tab/>
      </w:r>
      <w:r w:rsidRPr="00896E57">
        <w:rPr>
          <w:rFonts w:ascii="Times New Roman" w:hAnsi="Times New Roman"/>
          <w:i/>
          <w:sz w:val="24"/>
          <w:szCs w:val="24"/>
        </w:rPr>
        <w:t>Chi tiết xin liên hệ:</w:t>
      </w:r>
      <w:r w:rsidRPr="00896E57">
        <w:rPr>
          <w:rFonts w:ascii="Times New Roman" w:hAnsi="Times New Roman"/>
          <w:sz w:val="24"/>
          <w:szCs w:val="24"/>
        </w:rPr>
        <w:t xml:space="preserve"> </w:t>
      </w:r>
      <w:r w:rsidRPr="00896E57">
        <w:rPr>
          <w:rFonts w:ascii="Times New Roman" w:hAnsi="Times New Roman"/>
          <w:b w:val="0"/>
          <w:i/>
          <w:sz w:val="24"/>
          <w:szCs w:val="24"/>
          <w:lang w:val="de-DE"/>
        </w:rPr>
        <w:t xml:space="preserve">Nguyễn </w:t>
      </w:r>
      <w:r w:rsidRPr="00896E57">
        <w:rPr>
          <w:rFonts w:ascii="Times New Roman" w:hAnsi="Times New Roman"/>
          <w:b w:val="0"/>
          <w:i/>
          <w:sz w:val="24"/>
          <w:szCs w:val="24"/>
          <w:lang w:val="vi-VN"/>
        </w:rPr>
        <w:t>Văn Nghiệp</w:t>
      </w:r>
      <w:r w:rsidRPr="00896E57">
        <w:rPr>
          <w:rFonts w:ascii="Times New Roman" w:hAnsi="Times New Roman"/>
          <w:b w:val="0"/>
          <w:i/>
          <w:sz w:val="24"/>
          <w:szCs w:val="24"/>
          <w:lang w:val="de-DE"/>
        </w:rPr>
        <w:t xml:space="preserve"> – CV </w:t>
      </w:r>
      <w:r w:rsidRPr="00896E57">
        <w:rPr>
          <w:rFonts w:ascii="Times New Roman" w:hAnsi="Times New Roman"/>
          <w:b w:val="0"/>
          <w:i/>
          <w:sz w:val="24"/>
          <w:szCs w:val="24"/>
          <w:lang w:val="vi-VN"/>
        </w:rPr>
        <w:t xml:space="preserve">Vụ </w:t>
      </w:r>
      <w:r w:rsidRPr="00896E57">
        <w:rPr>
          <w:rFonts w:ascii="Times New Roman" w:hAnsi="Times New Roman"/>
          <w:b w:val="0"/>
          <w:i/>
          <w:sz w:val="24"/>
          <w:szCs w:val="24"/>
          <w:lang w:val="de-DE"/>
        </w:rPr>
        <w:t>GDTrH, ĐT: 0438684270; Email: n</w:t>
      </w:r>
      <w:r w:rsidRPr="00896E57">
        <w:rPr>
          <w:rFonts w:ascii="Times New Roman" w:hAnsi="Times New Roman"/>
          <w:b w:val="0"/>
          <w:i/>
          <w:sz w:val="24"/>
          <w:szCs w:val="24"/>
          <w:lang w:val="vi-VN"/>
        </w:rPr>
        <w:t>vn</w:t>
      </w:r>
      <w:r w:rsidRPr="00896E57">
        <w:rPr>
          <w:rFonts w:ascii="Times New Roman" w:hAnsi="Times New Roman"/>
          <w:b w:val="0"/>
          <w:i/>
          <w:sz w:val="24"/>
          <w:szCs w:val="24"/>
          <w:lang w:val="de-DE"/>
        </w:rPr>
        <w:t>g</w:t>
      </w:r>
      <w:r w:rsidRPr="00896E57">
        <w:rPr>
          <w:rFonts w:ascii="Times New Roman" w:hAnsi="Times New Roman"/>
          <w:b w:val="0"/>
          <w:i/>
          <w:sz w:val="24"/>
          <w:szCs w:val="24"/>
          <w:lang w:val="vi-VN"/>
        </w:rPr>
        <w:t>hiep</w:t>
      </w:r>
      <w:r w:rsidRPr="00896E57">
        <w:rPr>
          <w:rFonts w:ascii="Times New Roman" w:hAnsi="Times New Roman"/>
          <w:b w:val="0"/>
          <w:i/>
          <w:sz w:val="24"/>
          <w:szCs w:val="24"/>
          <w:lang w:val="de-DE"/>
        </w:rPr>
        <w:t>@moet.edu.vn</w:t>
      </w:r>
      <w:r>
        <w:rPr>
          <w:rFonts w:ascii="Times New Roman" w:hAnsi="Times New Roman"/>
          <w:b w:val="0"/>
          <w:i/>
          <w:sz w:val="24"/>
          <w:szCs w:val="24"/>
          <w:lang w:val="de-DE"/>
        </w:rPr>
        <w:t xml:space="preserve">; </w:t>
      </w:r>
      <w:r w:rsidRPr="00896E57">
        <w:rPr>
          <w:rFonts w:ascii="Times New Roman" w:hAnsi="Times New Roman"/>
          <w:b w:val="0"/>
          <w:i/>
          <w:sz w:val="24"/>
          <w:szCs w:val="24"/>
          <w:lang w:val="de-DE"/>
        </w:rPr>
        <w:t>Trần Ngọc Khoa – CVC Vụ GDTH, ĐT: 0915551503, Email: tnkhoa@moet.edu.vn</w:t>
      </w:r>
    </w:p>
    <w:p w:rsidR="00113BC6" w:rsidRPr="00113BC6" w:rsidRDefault="00113BC6" w:rsidP="00896E57">
      <w:pPr>
        <w:spacing w:before="120"/>
        <w:ind w:firstLine="720"/>
        <w:jc w:val="both"/>
        <w:rPr>
          <w:b/>
          <w:i/>
          <w:sz w:val="26"/>
          <w:szCs w:val="26"/>
          <w:lang w:val="de-DE"/>
        </w:rPr>
      </w:pPr>
      <w:r>
        <w:rPr>
          <w:sz w:val="26"/>
          <w:szCs w:val="26"/>
        </w:rPr>
        <w:t xml:space="preserve"> </w:t>
      </w:r>
      <w:r w:rsidRPr="00113BC6">
        <w:rPr>
          <w:i/>
          <w:sz w:val="26"/>
          <w:szCs w:val="26"/>
        </w:rPr>
        <w:t xml:space="preserve">        </w:t>
      </w:r>
    </w:p>
    <w:tbl>
      <w:tblPr>
        <w:tblW w:w="10278" w:type="dxa"/>
        <w:tblLook w:val="01E0"/>
      </w:tblPr>
      <w:tblGrid>
        <w:gridCol w:w="3978"/>
        <w:gridCol w:w="6300"/>
      </w:tblGrid>
      <w:tr w:rsidR="00113BC6" w:rsidRPr="00113BC6" w:rsidTr="00896E57">
        <w:trPr>
          <w:trHeight w:val="935"/>
        </w:trPr>
        <w:tc>
          <w:tcPr>
            <w:tcW w:w="3978" w:type="dxa"/>
          </w:tcPr>
          <w:p w:rsidR="00113BC6" w:rsidRPr="00113BC6" w:rsidRDefault="00113BC6" w:rsidP="00A51BE3">
            <w:pPr>
              <w:pStyle w:val="BlockText"/>
              <w:tabs>
                <w:tab w:val="clear" w:pos="8820"/>
                <w:tab w:val="clear" w:pos="9000"/>
                <w:tab w:val="left" w:pos="6225"/>
              </w:tabs>
              <w:ind w:left="-180" w:right="0"/>
              <w:rPr>
                <w:rFonts w:ascii="Times New Roman" w:hAnsi="Times New Roman"/>
                <w:i/>
                <w:iCs/>
                <w:sz w:val="26"/>
                <w:szCs w:val="26"/>
                <w:lang w:val="de-DE"/>
              </w:rPr>
            </w:pPr>
            <w:r w:rsidRPr="00113BC6">
              <w:rPr>
                <w:rFonts w:ascii="Times New Roman" w:hAnsi="Times New Roman"/>
                <w:b w:val="0"/>
                <w:i/>
                <w:sz w:val="26"/>
                <w:szCs w:val="26"/>
                <w:lang w:val="de-DE"/>
              </w:rPr>
              <w:t xml:space="preserve"> </w:t>
            </w:r>
          </w:p>
          <w:p w:rsidR="00113BC6" w:rsidRPr="00113BC6" w:rsidRDefault="00113BC6" w:rsidP="00A51BE3">
            <w:pPr>
              <w:pStyle w:val="BlockText"/>
              <w:tabs>
                <w:tab w:val="clear" w:pos="8820"/>
                <w:tab w:val="clear" w:pos="9000"/>
                <w:tab w:val="left" w:pos="6225"/>
              </w:tabs>
              <w:ind w:left="0" w:right="0"/>
              <w:jc w:val="both"/>
              <w:rPr>
                <w:rFonts w:ascii="Times New Roman" w:hAnsi="Times New Roman"/>
                <w:i/>
                <w:iCs/>
                <w:sz w:val="26"/>
                <w:szCs w:val="26"/>
                <w:lang w:val="de-DE"/>
              </w:rPr>
            </w:pPr>
            <w:r w:rsidRPr="00113BC6">
              <w:rPr>
                <w:rFonts w:ascii="Times New Roman" w:hAnsi="Times New Roman"/>
                <w:i/>
                <w:iCs/>
                <w:sz w:val="26"/>
                <w:szCs w:val="26"/>
                <w:lang w:val="de-DE"/>
              </w:rPr>
              <w:t>Nơi nhận:</w:t>
            </w:r>
          </w:p>
          <w:p w:rsidR="00113BC6" w:rsidRPr="00113BC6" w:rsidRDefault="00113BC6" w:rsidP="00A51BE3">
            <w:pPr>
              <w:pStyle w:val="BlockText"/>
              <w:tabs>
                <w:tab w:val="clear" w:pos="8820"/>
                <w:tab w:val="clear" w:pos="9000"/>
                <w:tab w:val="left" w:pos="6225"/>
              </w:tabs>
              <w:ind w:left="0" w:right="0"/>
              <w:jc w:val="both"/>
              <w:rPr>
                <w:rFonts w:ascii="Times New Roman" w:hAnsi="Times New Roman"/>
                <w:b w:val="0"/>
                <w:iCs/>
                <w:sz w:val="24"/>
                <w:szCs w:val="24"/>
                <w:lang w:val="de-DE"/>
              </w:rPr>
            </w:pPr>
            <w:r w:rsidRPr="00113BC6">
              <w:rPr>
                <w:rFonts w:ascii="Times New Roman" w:hAnsi="Times New Roman"/>
                <w:i/>
                <w:iCs/>
                <w:sz w:val="24"/>
                <w:szCs w:val="24"/>
                <w:lang w:val="de-DE"/>
              </w:rPr>
              <w:t xml:space="preserve">     </w:t>
            </w:r>
            <w:r w:rsidRPr="00113BC6">
              <w:rPr>
                <w:rFonts w:ascii="Times New Roman" w:hAnsi="Times New Roman"/>
                <w:b w:val="0"/>
                <w:iCs/>
                <w:sz w:val="24"/>
                <w:szCs w:val="24"/>
                <w:lang w:val="de-DE"/>
              </w:rPr>
              <w:t>- Như kính gửi (để thực hiện);</w:t>
            </w:r>
          </w:p>
          <w:p w:rsidR="00113BC6" w:rsidRPr="00113BC6" w:rsidRDefault="00113BC6" w:rsidP="00A51BE3">
            <w:pPr>
              <w:pStyle w:val="BlockText"/>
              <w:tabs>
                <w:tab w:val="clear" w:pos="8820"/>
                <w:tab w:val="clear" w:pos="9000"/>
                <w:tab w:val="left" w:pos="6225"/>
              </w:tabs>
              <w:ind w:left="0" w:right="0"/>
              <w:jc w:val="both"/>
              <w:rPr>
                <w:rFonts w:ascii="Times New Roman" w:hAnsi="Times New Roman"/>
                <w:b w:val="0"/>
                <w:iCs/>
                <w:sz w:val="24"/>
                <w:szCs w:val="24"/>
              </w:rPr>
            </w:pPr>
            <w:r w:rsidRPr="00113BC6">
              <w:rPr>
                <w:rFonts w:ascii="Times New Roman" w:hAnsi="Times New Roman"/>
                <w:b w:val="0"/>
                <w:iCs/>
                <w:sz w:val="24"/>
                <w:szCs w:val="24"/>
                <w:lang w:val="de-DE"/>
              </w:rPr>
              <w:t xml:space="preserve">     </w:t>
            </w:r>
            <w:r w:rsidRPr="00113BC6">
              <w:rPr>
                <w:rFonts w:ascii="Times New Roman" w:hAnsi="Times New Roman"/>
                <w:b w:val="0"/>
                <w:iCs/>
                <w:sz w:val="24"/>
                <w:szCs w:val="24"/>
              </w:rPr>
              <w:t>- Bộ trưởng (để báo cáo);</w:t>
            </w:r>
          </w:p>
          <w:p w:rsidR="00113BC6" w:rsidRPr="00113BC6" w:rsidRDefault="00113BC6" w:rsidP="00A51BE3">
            <w:pPr>
              <w:pStyle w:val="BlockText"/>
              <w:tabs>
                <w:tab w:val="clear" w:pos="8820"/>
                <w:tab w:val="clear" w:pos="9000"/>
                <w:tab w:val="left" w:pos="6225"/>
              </w:tabs>
              <w:ind w:left="0" w:right="0"/>
              <w:jc w:val="both"/>
              <w:rPr>
                <w:rFonts w:ascii="Times New Roman" w:hAnsi="Times New Roman"/>
                <w:b w:val="0"/>
                <w:bCs w:val="0"/>
                <w:sz w:val="26"/>
                <w:szCs w:val="26"/>
              </w:rPr>
            </w:pPr>
            <w:r w:rsidRPr="00113BC6">
              <w:rPr>
                <w:rFonts w:ascii="Times New Roman" w:hAnsi="Times New Roman"/>
                <w:b w:val="0"/>
                <w:iCs/>
                <w:sz w:val="24"/>
                <w:szCs w:val="24"/>
              </w:rPr>
              <w:t xml:space="preserve">      - Lưu VT, Vụ GDTrH, Vụ GDTH.</w:t>
            </w:r>
            <w:r w:rsidRPr="00113BC6">
              <w:rPr>
                <w:rFonts w:ascii="Times New Roman" w:hAnsi="Times New Roman"/>
                <w:b w:val="0"/>
                <w:iCs/>
                <w:sz w:val="26"/>
                <w:szCs w:val="26"/>
              </w:rPr>
              <w:t xml:space="preserve"> </w:t>
            </w:r>
          </w:p>
        </w:tc>
        <w:tc>
          <w:tcPr>
            <w:tcW w:w="6300" w:type="dxa"/>
          </w:tcPr>
          <w:p w:rsidR="00113BC6" w:rsidRPr="00113BC6" w:rsidRDefault="00113BC6" w:rsidP="00A51BE3">
            <w:pPr>
              <w:pStyle w:val="BlockText"/>
              <w:tabs>
                <w:tab w:val="clear" w:pos="8820"/>
                <w:tab w:val="clear" w:pos="9000"/>
                <w:tab w:val="left" w:pos="6225"/>
              </w:tabs>
              <w:ind w:left="-181" w:right="0"/>
              <w:jc w:val="center"/>
              <w:rPr>
                <w:rFonts w:ascii="Times New Roman" w:hAnsi="Times New Roman"/>
                <w:sz w:val="26"/>
                <w:szCs w:val="26"/>
              </w:rPr>
            </w:pPr>
            <w:r w:rsidRPr="00113BC6">
              <w:rPr>
                <w:rFonts w:ascii="Times New Roman" w:hAnsi="Times New Roman"/>
                <w:sz w:val="26"/>
                <w:szCs w:val="26"/>
              </w:rPr>
              <w:t>TL. BỘ TRƯỞNG                                                                                                              VỤ TRƯỞNG VỤ GIÁO DỤC TRUNG HỌC</w:t>
            </w:r>
          </w:p>
          <w:p w:rsidR="00113BC6" w:rsidRPr="00113BC6" w:rsidRDefault="00113BC6" w:rsidP="00A51BE3">
            <w:pPr>
              <w:pStyle w:val="BlockText"/>
              <w:tabs>
                <w:tab w:val="clear" w:pos="8820"/>
                <w:tab w:val="clear" w:pos="9000"/>
                <w:tab w:val="left" w:pos="6225"/>
              </w:tabs>
              <w:ind w:left="-181" w:right="0"/>
              <w:jc w:val="center"/>
              <w:rPr>
                <w:rFonts w:ascii="Times New Roman" w:hAnsi="Times New Roman"/>
                <w:sz w:val="26"/>
                <w:szCs w:val="26"/>
              </w:rPr>
            </w:pPr>
          </w:p>
          <w:p w:rsidR="00113BC6" w:rsidRPr="00113BC6" w:rsidRDefault="00113BC6" w:rsidP="00A51BE3">
            <w:pPr>
              <w:pStyle w:val="BlockText"/>
              <w:tabs>
                <w:tab w:val="clear" w:pos="8820"/>
                <w:tab w:val="clear" w:pos="9000"/>
                <w:tab w:val="left" w:pos="6225"/>
              </w:tabs>
              <w:ind w:left="-181" w:right="0"/>
              <w:jc w:val="center"/>
              <w:rPr>
                <w:rFonts w:ascii="Times New Roman" w:hAnsi="Times New Roman"/>
                <w:sz w:val="26"/>
                <w:szCs w:val="26"/>
              </w:rPr>
            </w:pPr>
          </w:p>
          <w:p w:rsidR="00113BC6" w:rsidRDefault="00113BC6" w:rsidP="00A51BE3">
            <w:pPr>
              <w:pStyle w:val="BlockText"/>
              <w:tabs>
                <w:tab w:val="clear" w:pos="8820"/>
                <w:tab w:val="clear" w:pos="9000"/>
                <w:tab w:val="left" w:pos="6225"/>
              </w:tabs>
              <w:ind w:left="-181" w:right="0"/>
              <w:jc w:val="center"/>
              <w:rPr>
                <w:rFonts w:ascii="Times New Roman" w:hAnsi="Times New Roman"/>
                <w:sz w:val="26"/>
                <w:szCs w:val="26"/>
              </w:rPr>
            </w:pPr>
          </w:p>
          <w:p w:rsidR="00113BC6" w:rsidRDefault="00113BC6" w:rsidP="00A51BE3">
            <w:pPr>
              <w:pStyle w:val="BlockText"/>
              <w:tabs>
                <w:tab w:val="clear" w:pos="8820"/>
                <w:tab w:val="clear" w:pos="9000"/>
                <w:tab w:val="left" w:pos="6225"/>
              </w:tabs>
              <w:ind w:left="-181" w:right="0"/>
              <w:jc w:val="center"/>
              <w:rPr>
                <w:rFonts w:ascii="Times New Roman" w:hAnsi="Times New Roman"/>
                <w:sz w:val="26"/>
                <w:szCs w:val="26"/>
              </w:rPr>
            </w:pPr>
          </w:p>
          <w:p w:rsidR="00896E57" w:rsidRPr="00113BC6" w:rsidRDefault="00896E57" w:rsidP="00A51BE3">
            <w:pPr>
              <w:pStyle w:val="BlockText"/>
              <w:tabs>
                <w:tab w:val="clear" w:pos="8820"/>
                <w:tab w:val="clear" w:pos="9000"/>
                <w:tab w:val="left" w:pos="6225"/>
              </w:tabs>
              <w:ind w:left="-181" w:right="0"/>
              <w:jc w:val="center"/>
              <w:rPr>
                <w:rFonts w:ascii="Times New Roman" w:hAnsi="Times New Roman"/>
                <w:sz w:val="26"/>
                <w:szCs w:val="26"/>
              </w:rPr>
            </w:pPr>
          </w:p>
          <w:p w:rsidR="00113BC6" w:rsidRPr="00113BC6" w:rsidRDefault="00113BC6" w:rsidP="00A51BE3">
            <w:pPr>
              <w:pStyle w:val="BlockText"/>
              <w:tabs>
                <w:tab w:val="clear" w:pos="8820"/>
                <w:tab w:val="clear" w:pos="9000"/>
                <w:tab w:val="left" w:pos="6225"/>
              </w:tabs>
              <w:ind w:left="0" w:right="0"/>
              <w:jc w:val="center"/>
              <w:rPr>
                <w:rFonts w:ascii="Times New Roman" w:hAnsi="Times New Roman"/>
                <w:sz w:val="26"/>
                <w:szCs w:val="26"/>
              </w:rPr>
            </w:pPr>
          </w:p>
          <w:p w:rsidR="00113BC6" w:rsidRPr="00113BC6" w:rsidRDefault="00113BC6" w:rsidP="00A51BE3">
            <w:pPr>
              <w:pStyle w:val="BlockText"/>
              <w:tabs>
                <w:tab w:val="clear" w:pos="8820"/>
                <w:tab w:val="clear" w:pos="9000"/>
                <w:tab w:val="left" w:pos="6225"/>
              </w:tabs>
              <w:ind w:left="0" w:right="0"/>
              <w:jc w:val="center"/>
              <w:rPr>
                <w:rFonts w:ascii="Times New Roman" w:hAnsi="Times New Roman"/>
                <w:b w:val="0"/>
                <w:bCs w:val="0"/>
                <w:sz w:val="26"/>
                <w:szCs w:val="26"/>
              </w:rPr>
            </w:pPr>
            <w:r w:rsidRPr="00113BC6">
              <w:rPr>
                <w:rFonts w:ascii="Times New Roman" w:hAnsi="Times New Roman"/>
                <w:sz w:val="26"/>
                <w:szCs w:val="26"/>
              </w:rPr>
              <w:t>Vũ Đình Chuẩn</w:t>
            </w:r>
          </w:p>
        </w:tc>
      </w:tr>
    </w:tbl>
    <w:p w:rsidR="00113BC6" w:rsidRPr="00113BC6" w:rsidRDefault="00113BC6" w:rsidP="00896E57">
      <w:pPr>
        <w:pStyle w:val="BlockText"/>
        <w:tabs>
          <w:tab w:val="clear" w:pos="8820"/>
          <w:tab w:val="clear" w:pos="9000"/>
          <w:tab w:val="left" w:pos="720"/>
          <w:tab w:val="left" w:pos="1080"/>
        </w:tabs>
        <w:spacing w:before="60"/>
        <w:ind w:left="0" w:right="0"/>
        <w:jc w:val="both"/>
        <w:rPr>
          <w:b w:val="0"/>
          <w:sz w:val="24"/>
          <w:szCs w:val="24"/>
        </w:rPr>
      </w:pPr>
      <w:r>
        <w:rPr>
          <w:rFonts w:ascii="Times New Roman" w:hAnsi="Times New Roman"/>
          <w:b w:val="0"/>
          <w:i/>
          <w:sz w:val="24"/>
          <w:szCs w:val="24"/>
          <w:lang w:val="fr-FR"/>
        </w:rPr>
        <w:tab/>
      </w:r>
      <w:r w:rsidRPr="00113BC6">
        <w:rPr>
          <w:rFonts w:ascii="Times New Roman" w:hAnsi="Times New Roman"/>
          <w:b w:val="0"/>
          <w:i/>
          <w:sz w:val="24"/>
          <w:szCs w:val="24"/>
          <w:lang w:val="fr-FR"/>
        </w:rPr>
        <w:t>-</w:t>
      </w:r>
      <w:r w:rsidRPr="00113BC6">
        <w:rPr>
          <w:rFonts w:ascii="Times New Roman" w:hAnsi="Times New Roman"/>
          <w:b w:val="0"/>
          <w:sz w:val="24"/>
          <w:szCs w:val="24"/>
          <w:lang w:val="fr-FR"/>
        </w:rPr>
        <w:t xml:space="preserve"> </w:t>
      </w:r>
    </w:p>
    <w:p w:rsidR="00947223" w:rsidRPr="00113BC6" w:rsidRDefault="00947223">
      <w:pPr>
        <w:rPr>
          <w:sz w:val="26"/>
          <w:szCs w:val="26"/>
        </w:rPr>
      </w:pPr>
    </w:p>
    <w:sectPr w:rsidR="00947223" w:rsidRPr="00113BC6" w:rsidSect="00896E57">
      <w:footerReference w:type="default" r:id="rId7"/>
      <w:pgSz w:w="12240" w:h="15840"/>
      <w:pgMar w:top="1080" w:right="1170" w:bottom="1080" w:left="17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F82" w:rsidRDefault="00B04F82" w:rsidP="00896E57">
      <w:r>
        <w:separator/>
      </w:r>
    </w:p>
  </w:endnote>
  <w:endnote w:type="continuationSeparator" w:id="1">
    <w:p w:rsidR="00B04F82" w:rsidRDefault="00B04F82" w:rsidP="00896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816438"/>
      <w:docPartObj>
        <w:docPartGallery w:val="Page Numbers (Bottom of Page)"/>
        <w:docPartUnique/>
      </w:docPartObj>
    </w:sdtPr>
    <w:sdtContent>
      <w:p w:rsidR="00896E57" w:rsidRDefault="00896E57">
        <w:pPr>
          <w:pStyle w:val="Footer"/>
          <w:jc w:val="right"/>
        </w:pPr>
        <w:fldSimple w:instr=" PAGE   \* MERGEFORMAT ">
          <w:r w:rsidR="0080068D">
            <w:rPr>
              <w:noProof/>
            </w:rPr>
            <w:t>1</w:t>
          </w:r>
        </w:fldSimple>
      </w:p>
    </w:sdtContent>
  </w:sdt>
  <w:p w:rsidR="00896E57" w:rsidRDefault="00896E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F82" w:rsidRDefault="00B04F82" w:rsidP="00896E57">
      <w:r>
        <w:separator/>
      </w:r>
    </w:p>
  </w:footnote>
  <w:footnote w:type="continuationSeparator" w:id="1">
    <w:p w:rsidR="00B04F82" w:rsidRDefault="00B04F82" w:rsidP="00896E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13BC6"/>
    <w:rsid w:val="00113BC6"/>
    <w:rsid w:val="0080068D"/>
    <w:rsid w:val="00896E57"/>
    <w:rsid w:val="00947223"/>
    <w:rsid w:val="00B04F82"/>
    <w:rsid w:val="00C71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BC6"/>
    <w:pPr>
      <w:spacing w:after="0" w:line="240" w:lineRule="auto"/>
    </w:pPr>
    <w:rPr>
      <w:rFonts w:eastAsia="Times New Roman" w:cs="Times New Roman"/>
      <w:szCs w:val="28"/>
    </w:rPr>
  </w:style>
  <w:style w:type="paragraph" w:styleId="Heading1">
    <w:name w:val="heading 1"/>
    <w:basedOn w:val="Normal"/>
    <w:next w:val="Normal"/>
    <w:link w:val="Heading1Char"/>
    <w:qFormat/>
    <w:rsid w:val="00113BC6"/>
    <w:pPr>
      <w:keepNext/>
      <w:jc w:val="center"/>
      <w:outlineLvl w:val="0"/>
    </w:pPr>
    <w:rPr>
      <w:rFonts w:ascii=".VnTimeH" w:hAnsi=".VnTimeH"/>
      <w:b/>
      <w:sz w:val="24"/>
      <w:szCs w:val="24"/>
      <w:lang w:val="pt-BR"/>
    </w:rPr>
  </w:style>
  <w:style w:type="paragraph" w:styleId="Heading2">
    <w:name w:val="heading 2"/>
    <w:basedOn w:val="Normal"/>
    <w:next w:val="Normal"/>
    <w:link w:val="Heading2Char"/>
    <w:qFormat/>
    <w:rsid w:val="00113BC6"/>
    <w:pPr>
      <w:keepNext/>
      <w:outlineLvl w:val="1"/>
    </w:pPr>
    <w:rPr>
      <w:rFonts w:ascii=".VnTime" w:hAnsi=".VnTime"/>
      <w:b/>
      <w:bCs/>
      <w:szCs w:val="24"/>
    </w:rPr>
  </w:style>
  <w:style w:type="paragraph" w:styleId="Heading4">
    <w:name w:val="heading 4"/>
    <w:basedOn w:val="Normal"/>
    <w:next w:val="Normal"/>
    <w:link w:val="Heading4Char"/>
    <w:qFormat/>
    <w:rsid w:val="00113BC6"/>
    <w:pPr>
      <w:keepNext/>
      <w:outlineLvl w:val="3"/>
    </w:pPr>
    <w:rPr>
      <w:rFonts w:ascii=".VnTime" w:hAnsi=".VnTim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BC6"/>
    <w:rPr>
      <w:rFonts w:ascii=".VnTimeH" w:eastAsia="Times New Roman" w:hAnsi=".VnTimeH" w:cs="Times New Roman"/>
      <w:b/>
      <w:sz w:val="24"/>
      <w:szCs w:val="24"/>
      <w:lang w:val="pt-BR"/>
    </w:rPr>
  </w:style>
  <w:style w:type="character" w:customStyle="1" w:styleId="Heading2Char">
    <w:name w:val="Heading 2 Char"/>
    <w:basedOn w:val="DefaultParagraphFont"/>
    <w:link w:val="Heading2"/>
    <w:rsid w:val="00113BC6"/>
    <w:rPr>
      <w:rFonts w:ascii=".VnTime" w:eastAsia="Times New Roman" w:hAnsi=".VnTime" w:cs="Times New Roman"/>
      <w:b/>
      <w:bCs/>
      <w:szCs w:val="24"/>
    </w:rPr>
  </w:style>
  <w:style w:type="character" w:customStyle="1" w:styleId="Heading4Char">
    <w:name w:val="Heading 4 Char"/>
    <w:basedOn w:val="DefaultParagraphFont"/>
    <w:link w:val="Heading4"/>
    <w:rsid w:val="00113BC6"/>
    <w:rPr>
      <w:rFonts w:ascii=".VnTime" w:eastAsia="Times New Roman" w:hAnsi=".VnTime" w:cs="Times New Roman"/>
      <w:szCs w:val="24"/>
    </w:rPr>
  </w:style>
  <w:style w:type="paragraph" w:styleId="BlockText">
    <w:name w:val="Block Text"/>
    <w:basedOn w:val="Normal"/>
    <w:rsid w:val="00113BC6"/>
    <w:pPr>
      <w:tabs>
        <w:tab w:val="left" w:pos="8820"/>
        <w:tab w:val="left" w:pos="9000"/>
      </w:tabs>
      <w:ind w:left="-540" w:right="-540"/>
    </w:pPr>
    <w:rPr>
      <w:rFonts w:ascii=".VnTime" w:hAnsi=".VnTime"/>
      <w:b/>
      <w:bCs/>
    </w:rPr>
  </w:style>
  <w:style w:type="paragraph" w:styleId="Header">
    <w:name w:val="header"/>
    <w:basedOn w:val="Normal"/>
    <w:link w:val="HeaderChar"/>
    <w:uiPriority w:val="99"/>
    <w:semiHidden/>
    <w:unhideWhenUsed/>
    <w:rsid w:val="00896E57"/>
    <w:pPr>
      <w:tabs>
        <w:tab w:val="center" w:pos="4680"/>
        <w:tab w:val="right" w:pos="9360"/>
      </w:tabs>
    </w:pPr>
  </w:style>
  <w:style w:type="character" w:customStyle="1" w:styleId="HeaderChar">
    <w:name w:val="Header Char"/>
    <w:basedOn w:val="DefaultParagraphFont"/>
    <w:link w:val="Header"/>
    <w:uiPriority w:val="99"/>
    <w:semiHidden/>
    <w:rsid w:val="00896E57"/>
    <w:rPr>
      <w:rFonts w:eastAsia="Times New Roman" w:cs="Times New Roman"/>
      <w:szCs w:val="28"/>
    </w:rPr>
  </w:style>
  <w:style w:type="paragraph" w:styleId="Footer">
    <w:name w:val="footer"/>
    <w:basedOn w:val="Normal"/>
    <w:link w:val="FooterChar"/>
    <w:uiPriority w:val="99"/>
    <w:unhideWhenUsed/>
    <w:rsid w:val="00896E57"/>
    <w:pPr>
      <w:tabs>
        <w:tab w:val="center" w:pos="4680"/>
        <w:tab w:val="right" w:pos="9360"/>
      </w:tabs>
    </w:pPr>
  </w:style>
  <w:style w:type="character" w:customStyle="1" w:styleId="FooterChar">
    <w:name w:val="Footer Char"/>
    <w:basedOn w:val="DefaultParagraphFont"/>
    <w:link w:val="Footer"/>
    <w:uiPriority w:val="99"/>
    <w:rsid w:val="00896E57"/>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7B2B2-9D54-4803-BF90-D0318399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2016-04-11T03:23:00Z</dcterms:created>
  <dcterms:modified xsi:type="dcterms:W3CDTF">2016-04-11T04:04:00Z</dcterms:modified>
</cp:coreProperties>
</file>